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44" w:rsidRDefault="0038292C">
      <w:pPr>
        <w:spacing w:before="240" w:after="240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color w:val="F19929"/>
          <w:sz w:val="36"/>
          <w:szCs w:val="36"/>
        </w:rPr>
        <w:t>zondag 27 september Burendag</w:t>
      </w:r>
      <w:r>
        <w:rPr>
          <w:rFonts w:ascii="Open Sans" w:eastAsia="Open Sans" w:hAnsi="Open Sans" w:cs="Open Sans"/>
          <w:b/>
          <w:color w:val="F19929"/>
          <w:sz w:val="36"/>
          <w:szCs w:val="36"/>
        </w:rPr>
        <w:br/>
        <w:t>in het Paleiskwartier:</w:t>
      </w:r>
      <w:bookmarkStart w:id="0" w:name="_GoBack"/>
      <w:bookmarkEnd w:id="0"/>
      <w:r>
        <w:rPr>
          <w:rFonts w:ascii="Open Sans" w:eastAsia="Open Sans" w:hAnsi="Open Sans" w:cs="Open Sans"/>
          <w:b/>
          <w:color w:val="F19929"/>
          <w:sz w:val="36"/>
          <w:szCs w:val="36"/>
        </w:rPr>
        <w:br/>
        <w:t xml:space="preserve">KENNISMAKEN MET ELEKTRISCHE DEELAUTO’S </w:t>
      </w:r>
    </w:p>
    <w:p w:rsidR="002E5044" w:rsidRDefault="0038292C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4662488</wp:posOffset>
            </wp:positionH>
            <wp:positionV relativeFrom="page">
              <wp:posOffset>4599855</wp:posOffset>
            </wp:positionV>
            <wp:extent cx="2176463" cy="2136306"/>
            <wp:effectExtent l="0" t="0" r="0" b="0"/>
            <wp:wrapSquare wrapText="bothSides" distT="0" distB="0" distL="114300" distR="114300"/>
            <wp:docPr id="2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1324" r="21234"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21363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3"/>
        <w:tblW w:w="10400" w:type="dxa"/>
        <w:tblInd w:w="0" w:type="dxa"/>
        <w:tblBorders>
          <w:top w:val="single" w:sz="24" w:space="0" w:color="F5AD49"/>
          <w:left w:val="single" w:sz="24" w:space="0" w:color="F5AD49"/>
          <w:bottom w:val="single" w:sz="24" w:space="0" w:color="F5AD49"/>
          <w:right w:val="single" w:sz="24" w:space="0" w:color="F5AD49"/>
          <w:insideH w:val="single" w:sz="24" w:space="0" w:color="F5AD49"/>
          <w:insideV w:val="single" w:sz="24" w:space="0" w:color="F5AD49"/>
        </w:tblBorders>
        <w:tblLayout w:type="fixed"/>
        <w:tblLook w:val="0600" w:firstRow="0" w:lastRow="0" w:firstColumn="0" w:lastColumn="0" w:noHBand="1" w:noVBand="1"/>
      </w:tblPr>
      <w:tblGrid>
        <w:gridCol w:w="3468"/>
        <w:gridCol w:w="3386"/>
        <w:gridCol w:w="3546"/>
      </w:tblGrid>
      <w:tr w:rsidR="002E5044">
        <w:trPr>
          <w:trHeight w:val="2175"/>
        </w:trPr>
        <w:tc>
          <w:tcPr>
            <w:tcW w:w="3468" w:type="dxa"/>
            <w:shd w:val="clear" w:color="auto" w:fill="FCDFB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044" w:rsidRDefault="0038292C">
            <w:pPr>
              <w:spacing w:before="240" w:after="240"/>
              <w:rPr>
                <w:rFonts w:ascii="Open Sans" w:eastAsia="Open Sans" w:hAnsi="Open Sans" w:cs="Open Sans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32"/>
                <w:szCs w:val="32"/>
                <w:u w:val="single"/>
              </w:rPr>
              <w:t>DUURZAAM</w:t>
            </w:r>
          </w:p>
          <w:p w:rsidR="002E5044" w:rsidRDefault="0038292C">
            <w:pPr>
              <w:spacing w:before="240" w:after="240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Geen CO2 of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NOx</w:t>
            </w:r>
            <w:proofErr w:type="spellEnd"/>
          </w:p>
          <w:p w:rsidR="002E5044" w:rsidRDefault="0038292C">
            <w:pPr>
              <w:spacing w:before="240" w:after="240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Minder auto’s</w:t>
            </w:r>
          </w:p>
          <w:p w:rsidR="002E5044" w:rsidRDefault="0038292C">
            <w:pPr>
              <w:spacing w:before="240" w:after="240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Minder parkeerdruk</w:t>
            </w:r>
          </w:p>
        </w:tc>
        <w:tc>
          <w:tcPr>
            <w:tcW w:w="3386" w:type="dxa"/>
            <w:shd w:val="clear" w:color="auto" w:fill="FCDFB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044" w:rsidRDefault="0038292C">
            <w:pPr>
              <w:spacing w:before="240" w:after="240"/>
              <w:rPr>
                <w:rFonts w:ascii="Open Sans" w:eastAsia="Open Sans" w:hAnsi="Open Sans" w:cs="Open Sans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32"/>
                <w:szCs w:val="32"/>
                <w:u w:val="single"/>
              </w:rPr>
              <w:t>SOCIAAL</w:t>
            </w:r>
          </w:p>
          <w:p w:rsidR="002E5044" w:rsidRDefault="0038292C">
            <w:pPr>
              <w:spacing w:before="240" w:after="240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</w:rPr>
              <w:t>Delen met de buren (bedrijven en bewoners)</w:t>
            </w:r>
          </w:p>
          <w:p w:rsidR="002E5044" w:rsidRDefault="0038292C">
            <w:pPr>
              <w:spacing w:before="240" w:after="240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Samen mobiliteit regelen</w:t>
            </w:r>
          </w:p>
        </w:tc>
        <w:tc>
          <w:tcPr>
            <w:tcW w:w="3546" w:type="dxa"/>
            <w:shd w:val="clear" w:color="auto" w:fill="FCDFB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044" w:rsidRDefault="0038292C">
            <w:pPr>
              <w:spacing w:before="240" w:after="240"/>
              <w:rPr>
                <w:rFonts w:ascii="Open Sans" w:eastAsia="Open Sans" w:hAnsi="Open Sans" w:cs="Open Sans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32"/>
                <w:szCs w:val="32"/>
                <w:u w:val="single"/>
              </w:rPr>
              <w:t>BETAALBAAR</w:t>
            </w:r>
          </w:p>
          <w:p w:rsidR="002E5044" w:rsidRDefault="0038292C">
            <w:pPr>
              <w:spacing w:before="240" w:after="240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Alleen betalen wat je gebruikt, per uur en km</w:t>
            </w:r>
          </w:p>
          <w:p w:rsidR="002E5044" w:rsidRDefault="0038292C">
            <w:pPr>
              <w:spacing w:before="240" w:after="24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Geen parkeerkosten</w:t>
            </w:r>
          </w:p>
          <w:p w:rsidR="002E5044" w:rsidRDefault="0038292C">
            <w:pPr>
              <w:spacing w:before="240" w:after="240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Niet meer zelf verzekeren, onderhouden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etc</w:t>
            </w:r>
            <w:proofErr w:type="spellEnd"/>
          </w:p>
        </w:tc>
      </w:tr>
    </w:tbl>
    <w:p w:rsidR="002E5044" w:rsidRDefault="0038292C">
      <w:pPr>
        <w:spacing w:before="240" w:after="240"/>
      </w:pPr>
      <w:r>
        <w:rPr>
          <w:rFonts w:ascii="Open Sans" w:eastAsia="Open Sans" w:hAnsi="Open Sans" w:cs="Open Sans"/>
          <w:sz w:val="22"/>
          <w:szCs w:val="22"/>
        </w:rPr>
        <w:t xml:space="preserve">Tijdens Burendag 2020 op zondag 27 september  biedt 073elektrisch je een gratis proefrit in een elektrische deelauto. Meld je </w:t>
      </w:r>
      <w:hyperlink r:id="rId9"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hier</w:t>
        </w:r>
      </w:hyperlink>
      <w:r>
        <w:rPr>
          <w:rFonts w:ascii="Open Sans" w:eastAsia="Open Sans" w:hAnsi="Open Sans" w:cs="Open Sans"/>
          <w:sz w:val="22"/>
          <w:szCs w:val="22"/>
        </w:rPr>
        <w:t xml:space="preserve"> aan! </w:t>
      </w:r>
    </w:p>
    <w:p w:rsidR="002E5044" w:rsidRDefault="0038292C">
      <w:pPr>
        <w:spacing w:before="240" w:after="24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Voorheen bekend als “Paleiskwartier Elektrisch” komen de elektrische deelauto’s (BMW i3, Renault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Zoe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) nu steeds meer uit de bedrijfsgarages en kunnen de bewoners en ondernemers er </w:t>
      </w:r>
      <w:r>
        <w:rPr>
          <w:rFonts w:ascii="Open Sans" w:eastAsia="Open Sans" w:hAnsi="Open Sans" w:cs="Open Sans"/>
          <w:sz w:val="22"/>
          <w:szCs w:val="22"/>
        </w:rPr>
        <w:t xml:space="preserve">gemakkelijk gebruik van maken. En in de Binnenstad en andere wijken komen ook elektrische deelauto’s! 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4737735</wp:posOffset>
            </wp:positionH>
            <wp:positionV relativeFrom="paragraph">
              <wp:posOffset>1352550</wp:posOffset>
            </wp:positionV>
            <wp:extent cx="1838325" cy="1729732"/>
            <wp:effectExtent l="0" t="0" r="0" b="0"/>
            <wp:wrapSquare wrapText="bothSides" distT="114300" distB="114300" distL="114300" distR="114300"/>
            <wp:docPr id="2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729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5044" w:rsidRDefault="0038292C">
      <w:pPr>
        <w:spacing w:before="240" w:after="24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Via een </w:t>
      </w:r>
      <w:hyperlink r:id="rId11"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abonnement</w:t>
        </w:r>
      </w:hyperlink>
      <w:r>
        <w:rPr>
          <w:rFonts w:ascii="Open Sans" w:eastAsia="Open Sans" w:hAnsi="Open Sans" w:cs="Open Sans"/>
          <w:sz w:val="22"/>
          <w:szCs w:val="22"/>
        </w:rPr>
        <w:t xml:space="preserve"> (of prepaid) krijg je toegang tot alle elektrisch deelauto’s in de stad! Beschikbaarheid gegarandeerd, want bij meer belangstelling breiden wij het wagenpark verder uit. </w:t>
      </w:r>
    </w:p>
    <w:p w:rsidR="002E5044" w:rsidRDefault="0038292C">
      <w:pPr>
        <w:spacing w:before="240" w:after="240"/>
        <w:rPr>
          <w:rFonts w:ascii="Open Sans" w:eastAsia="Open Sans" w:hAnsi="Open Sans" w:cs="Open Sans"/>
          <w:i/>
          <w:sz w:val="16"/>
          <w:szCs w:val="16"/>
        </w:rPr>
      </w:pPr>
      <w:r>
        <w:rPr>
          <w:rFonts w:ascii="Open Sans" w:eastAsia="Open Sans" w:hAnsi="Open Sans" w:cs="Open Sans"/>
          <w:b/>
          <w:color w:val="F19929"/>
          <w:sz w:val="36"/>
          <w:szCs w:val="36"/>
        </w:rPr>
        <w:t>Wat kost dat? Er zijn 2 varianten:</w:t>
      </w:r>
      <w:r>
        <w:rPr>
          <w:rFonts w:ascii="Open Sans" w:eastAsia="Open Sans" w:hAnsi="Open Sans" w:cs="Open Sans"/>
          <w:b/>
          <w:color w:val="F19929"/>
          <w:sz w:val="36"/>
          <w:szCs w:val="36"/>
        </w:rPr>
        <w:br/>
      </w:r>
      <w:r>
        <w:rPr>
          <w:rFonts w:ascii="Open Sans" w:eastAsia="Open Sans" w:hAnsi="Open Sans" w:cs="Open Sans"/>
          <w:b/>
          <w:sz w:val="22"/>
          <w:szCs w:val="22"/>
        </w:rPr>
        <w:t>“Eigen” auto</w:t>
      </w:r>
      <w:r>
        <w:rPr>
          <w:rFonts w:ascii="Open Sans" w:eastAsia="Open Sans" w:hAnsi="Open Sans" w:cs="Open Sans"/>
          <w:sz w:val="22"/>
          <w:szCs w:val="22"/>
        </w:rPr>
        <w:t>: voor maar €89/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mnd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heb jij</w:t>
      </w:r>
      <w:r>
        <w:rPr>
          <w:rFonts w:ascii="Open Sans" w:eastAsia="Open Sans" w:hAnsi="Open Sans" w:cs="Open Sans"/>
          <w:sz w:val="22"/>
          <w:szCs w:val="22"/>
        </w:rPr>
        <w:t xml:space="preserve"> hebt </w:t>
      </w:r>
      <w:r>
        <w:rPr>
          <w:rFonts w:ascii="Open Sans" w:eastAsia="Open Sans" w:hAnsi="Open Sans" w:cs="Open Sans"/>
          <w:i/>
          <w:sz w:val="22"/>
          <w:szCs w:val="22"/>
        </w:rPr>
        <w:t xml:space="preserve">exclusief </w:t>
      </w:r>
      <w:r>
        <w:rPr>
          <w:rFonts w:ascii="Open Sans" w:eastAsia="Open Sans" w:hAnsi="Open Sans" w:cs="Open Sans"/>
          <w:sz w:val="22"/>
          <w:szCs w:val="22"/>
        </w:rPr>
        <w:t xml:space="preserve">1 dag per week, dus </w:t>
      </w:r>
      <w:r>
        <w:rPr>
          <w:rFonts w:ascii="Open Sans" w:eastAsia="Open Sans" w:hAnsi="Open Sans" w:cs="Open Sans"/>
          <w:b/>
          <w:sz w:val="22"/>
          <w:szCs w:val="22"/>
        </w:rPr>
        <w:t>24 uur per week</w:t>
      </w:r>
      <w:r>
        <w:rPr>
          <w:rFonts w:ascii="Open Sans" w:eastAsia="Open Sans" w:hAnsi="Open Sans" w:cs="Open Sans"/>
          <w:sz w:val="22"/>
          <w:szCs w:val="22"/>
        </w:rPr>
        <w:t xml:space="preserve">, toegang tot de auto’s (en ook je huisgenoten). </w:t>
      </w:r>
      <w:r>
        <w:rPr>
          <w:rFonts w:ascii="Open Sans" w:eastAsia="Open Sans" w:hAnsi="Open Sans" w:cs="Open Sans"/>
          <w:sz w:val="22"/>
          <w:szCs w:val="22"/>
        </w:rPr>
        <w:br/>
        <w:t xml:space="preserve">Naast de abonnementskosten betaal je 18ct/km (Renault </w:t>
      </w:r>
      <w:proofErr w:type="spellStart"/>
      <w:r>
        <w:rPr>
          <w:rFonts w:ascii="Open Sans" w:eastAsia="Open Sans" w:hAnsi="Open Sans" w:cs="Open Sans"/>
          <w:sz w:val="22"/>
          <w:szCs w:val="22"/>
        </w:rPr>
        <w:t>Zoe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en BMWi3) of 30ct/km (Tesla 3). </w:t>
      </w:r>
      <w:r>
        <w:rPr>
          <w:rFonts w:ascii="Open Sans" w:eastAsia="Open Sans" w:hAnsi="Open Sans" w:cs="Open Sans"/>
          <w:i/>
          <w:sz w:val="16"/>
          <w:szCs w:val="16"/>
        </w:rPr>
        <w:t>Alle tarieven incl 21% BTW</w:t>
      </w:r>
    </w:p>
    <w:p w:rsidR="002E5044" w:rsidRDefault="0038292C">
      <w:pPr>
        <w:spacing w:before="240" w:after="24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Weekendauto</w:t>
      </w:r>
      <w:r>
        <w:rPr>
          <w:rFonts w:ascii="Open Sans" w:eastAsia="Open Sans" w:hAnsi="Open Sans" w:cs="Open Sans"/>
          <w:sz w:val="22"/>
          <w:szCs w:val="22"/>
        </w:rPr>
        <w:t>: prepaid of vanaf € 9,95 p</w:t>
      </w:r>
      <w:r>
        <w:rPr>
          <w:rFonts w:ascii="Open Sans" w:eastAsia="Open Sans" w:hAnsi="Open Sans" w:cs="Open Sans"/>
          <w:sz w:val="22"/>
          <w:szCs w:val="22"/>
        </w:rPr>
        <w:t xml:space="preserve">er maand krijg je buiten kantooruren (avonden en ‘t hele weekend) toegang tot bedrijfsauto’s. </w:t>
      </w:r>
    </w:p>
    <w:p w:rsidR="002E5044" w:rsidRDefault="0038292C">
      <w:pPr>
        <w:spacing w:before="240" w:after="2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19929"/>
          <w:sz w:val="36"/>
          <w:szCs w:val="36"/>
        </w:rPr>
        <w:t>Wat is 073elektrisch?</w:t>
      </w:r>
      <w:r>
        <w:rPr>
          <w:rFonts w:ascii="Open Sans" w:eastAsia="Open Sans" w:hAnsi="Open Sans" w:cs="Open Sans"/>
          <w:b/>
          <w:color w:val="F19929"/>
          <w:sz w:val="36"/>
          <w:szCs w:val="36"/>
        </w:rPr>
        <w:br/>
      </w:r>
      <w:r>
        <w:rPr>
          <w:rFonts w:ascii="Open Sans" w:eastAsia="Open Sans" w:hAnsi="Open Sans" w:cs="Open Sans"/>
          <w:sz w:val="22"/>
          <w:szCs w:val="22"/>
        </w:rPr>
        <w:t>In de hele stad is</w:t>
      </w:r>
      <w:hyperlink r:id="rId12">
        <w:r>
          <w:rPr>
            <w:rFonts w:ascii="Open Sans" w:eastAsia="Open Sans" w:hAnsi="Open Sans" w:cs="Open Sans"/>
            <w:sz w:val="22"/>
            <w:szCs w:val="22"/>
          </w:rPr>
          <w:t xml:space="preserve"> </w:t>
        </w:r>
      </w:hyperlink>
      <w:hyperlink r:id="rId13">
        <w:r>
          <w:rPr>
            <w:rFonts w:ascii="Open Sans" w:eastAsia="Open Sans" w:hAnsi="Open Sans" w:cs="Open Sans"/>
            <w:color w:val="2F5496"/>
            <w:sz w:val="22"/>
            <w:szCs w:val="22"/>
            <w:u w:val="single"/>
          </w:rPr>
          <w:t>073elektrisch</w:t>
        </w:r>
      </w:hyperlink>
      <w:r>
        <w:rPr>
          <w:rFonts w:ascii="Open Sans" w:eastAsia="Open Sans" w:hAnsi="Open Sans" w:cs="Open Sans"/>
          <w:color w:val="2F5496"/>
          <w:sz w:val="22"/>
          <w:szCs w:val="22"/>
        </w:rPr>
        <w:t xml:space="preserve"> </w:t>
      </w:r>
      <w:r>
        <w:rPr>
          <w:rFonts w:ascii="Open Sans" w:eastAsia="Open Sans" w:hAnsi="Open Sans" w:cs="Open Sans"/>
          <w:sz w:val="22"/>
          <w:szCs w:val="22"/>
        </w:rPr>
        <w:t xml:space="preserve">actief om bij bedrijven, in woonwijken en in de binnenstad </w:t>
      </w:r>
      <w:r>
        <w:rPr>
          <w:rFonts w:ascii="Open Sans" w:eastAsia="Open Sans" w:hAnsi="Open Sans" w:cs="Open Sans"/>
          <w:sz w:val="22"/>
          <w:szCs w:val="22"/>
        </w:rPr>
        <w:br/>
        <w:t xml:space="preserve">elektrische deelauto's te laten verschijnen. </w:t>
      </w:r>
    </w:p>
    <w:sectPr w:rsidR="002E5044">
      <w:headerReference w:type="default" r:id="rId14"/>
      <w:pgSz w:w="11900" w:h="16840"/>
      <w:pgMar w:top="566" w:right="720" w:bottom="284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292C">
      <w:r>
        <w:separator/>
      </w:r>
    </w:p>
  </w:endnote>
  <w:endnote w:type="continuationSeparator" w:id="0">
    <w:p w:rsidR="00000000" w:rsidRDefault="0038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292C">
      <w:r>
        <w:separator/>
      </w:r>
    </w:p>
  </w:footnote>
  <w:footnote w:type="continuationSeparator" w:id="0">
    <w:p w:rsidR="00000000" w:rsidRDefault="0038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44" w:rsidRDefault="0038292C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4986338</wp:posOffset>
          </wp:positionH>
          <wp:positionV relativeFrom="paragraph">
            <wp:posOffset>-370879</wp:posOffset>
          </wp:positionV>
          <wp:extent cx="1330960" cy="1310005"/>
          <wp:effectExtent l="0" t="0" r="0" b="0"/>
          <wp:wrapSquare wrapText="bothSides" distT="0" distB="0" distL="114300" distR="114300"/>
          <wp:docPr id="22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0960" cy="1310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5044" w:rsidRDefault="002E50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5044"/>
    <w:rsid w:val="002E5044"/>
    <w:rsid w:val="0038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49128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01E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01E6B"/>
  </w:style>
  <w:style w:type="paragraph" w:styleId="Voettekst">
    <w:name w:val="footer"/>
    <w:basedOn w:val="Standaard"/>
    <w:link w:val="VoettekstChar"/>
    <w:uiPriority w:val="99"/>
    <w:unhideWhenUsed/>
    <w:rsid w:val="00001E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01E6B"/>
  </w:style>
  <w:style w:type="character" w:styleId="Hyperlink">
    <w:name w:val="Hyperlink"/>
    <w:basedOn w:val="Standaardalinea-lettertype"/>
    <w:uiPriority w:val="99"/>
    <w:unhideWhenUsed/>
    <w:rsid w:val="00ED30AA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D30AA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9929"/>
    </w:tc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19929"/>
    </w:tcPr>
  </w:style>
  <w:style w:type="character" w:styleId="Verwijzingopmerking">
    <w:name w:val="annotation reference"/>
    <w:basedOn w:val="Standaardalinea-lettertype"/>
    <w:uiPriority w:val="99"/>
    <w:semiHidden/>
    <w:unhideWhenUsed/>
    <w:rsid w:val="000D20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D206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D206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20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206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206B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06B"/>
    <w:rPr>
      <w:rFonts w:ascii="Times New Roman" w:hAnsi="Times New Roman" w:cs="Times New Roman"/>
      <w:sz w:val="18"/>
      <w:szCs w:val="18"/>
    </w:r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19929"/>
    </w:tc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19929"/>
    </w:tc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19929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49128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01E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01E6B"/>
  </w:style>
  <w:style w:type="paragraph" w:styleId="Voettekst">
    <w:name w:val="footer"/>
    <w:basedOn w:val="Standaard"/>
    <w:link w:val="VoettekstChar"/>
    <w:uiPriority w:val="99"/>
    <w:unhideWhenUsed/>
    <w:rsid w:val="00001E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01E6B"/>
  </w:style>
  <w:style w:type="character" w:styleId="Hyperlink">
    <w:name w:val="Hyperlink"/>
    <w:basedOn w:val="Standaardalinea-lettertype"/>
    <w:uiPriority w:val="99"/>
    <w:unhideWhenUsed/>
    <w:rsid w:val="00ED30AA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D30AA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9929"/>
    </w:tc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19929"/>
    </w:tcPr>
  </w:style>
  <w:style w:type="character" w:styleId="Verwijzingopmerking">
    <w:name w:val="annotation reference"/>
    <w:basedOn w:val="Standaardalinea-lettertype"/>
    <w:uiPriority w:val="99"/>
    <w:semiHidden/>
    <w:unhideWhenUsed/>
    <w:rsid w:val="000D20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D206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D206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20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206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206B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06B"/>
    <w:rPr>
      <w:rFonts w:ascii="Times New Roman" w:hAnsi="Times New Roman" w:cs="Times New Roman"/>
      <w:sz w:val="18"/>
      <w:szCs w:val="18"/>
    </w:r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19929"/>
    </w:tc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19929"/>
    </w:tc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19929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enbosch.nl/nl/duurzaam/elektrische-deelaut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denbosch.nl/nl/duurzaam/elektrische-deelaut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ichtingbrabantelektrisch.nl/wp-content/uploads/2020/09/Abonnementen-073elektrisch-Z-en-P-16092020.docx-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tichtingbrabantelektrisch.nl/proefri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aBp31r4idIOUFBFSYijo3kO/QQ==">AMUW2mUjHaUTWwBX7cOCzrM3813eY7ELtaIvKuiFg4V+DMIJg/ilKnFZ51zugsJVQNOVBUrci743yDlJ/kXTYfsDXWBvzh1cr9GyRonOVki/VqadvuO4uTU=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Kees Deijl</cp:lastModifiedBy>
  <cp:revision>2</cp:revision>
  <dcterms:created xsi:type="dcterms:W3CDTF">2020-09-21T15:54:00Z</dcterms:created>
  <dcterms:modified xsi:type="dcterms:W3CDTF">2020-09-21T15:54:00Z</dcterms:modified>
</cp:coreProperties>
</file>