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24658" w:rsidRPr="00F24658" w14:paraId="4B97D178" w14:textId="77777777" w:rsidTr="00F24658">
        <w:trPr>
          <w:tblCellSpacing w:w="0" w:type="dxa"/>
          <w:jc w:val="center"/>
        </w:trPr>
        <w:tc>
          <w:tcPr>
            <w:tcW w:w="0" w:type="auto"/>
            <w:shd w:val="clear" w:color="auto" w:fill="AD9156"/>
            <w:tcMar>
              <w:top w:w="255" w:type="dxa"/>
              <w:left w:w="0" w:type="dxa"/>
              <w:bottom w:w="21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F24658" w:rsidRPr="00F24658" w14:paraId="20E97837" w14:textId="77777777">
              <w:trPr>
                <w:tblCellSpacing w:w="0" w:type="dxa"/>
                <w:jc w:val="center"/>
              </w:trPr>
              <w:tc>
                <w:tcPr>
                  <w:tcW w:w="0" w:type="auto"/>
                  <w:hideMark/>
                </w:tcPr>
                <w:tbl>
                  <w:tblPr>
                    <w:tblpPr w:vertAnchor="text"/>
                    <w:tblW w:w="6000" w:type="dxa"/>
                    <w:tblCellSpacing w:w="0" w:type="dxa"/>
                    <w:tblCellMar>
                      <w:left w:w="0" w:type="dxa"/>
                      <w:right w:w="0" w:type="dxa"/>
                    </w:tblCellMar>
                    <w:tblLook w:val="04A0" w:firstRow="1" w:lastRow="0" w:firstColumn="1" w:lastColumn="0" w:noHBand="0" w:noVBand="1"/>
                  </w:tblPr>
                  <w:tblGrid>
                    <w:gridCol w:w="6000"/>
                  </w:tblGrid>
                  <w:tr w:rsidR="00F24658" w:rsidRPr="00F24658" w14:paraId="515F0DEA" w14:textId="77777777">
                    <w:trPr>
                      <w:tblCellSpacing w:w="0" w:type="dxa"/>
                    </w:trPr>
                    <w:tc>
                      <w:tcPr>
                        <w:tcW w:w="0" w:type="auto"/>
                        <w:hideMark/>
                      </w:tcPr>
                      <w:tbl>
                        <w:tblPr>
                          <w:tblW w:w="0" w:type="auto"/>
                          <w:tblCellSpacing w:w="0" w:type="dxa"/>
                          <w:shd w:val="clear" w:color="auto" w:fill="AD9156"/>
                          <w:tblCellMar>
                            <w:left w:w="0" w:type="dxa"/>
                            <w:right w:w="0" w:type="dxa"/>
                          </w:tblCellMar>
                          <w:tblLook w:val="04A0" w:firstRow="1" w:lastRow="0" w:firstColumn="1" w:lastColumn="0" w:noHBand="0" w:noVBand="1"/>
                        </w:tblPr>
                        <w:tblGrid>
                          <w:gridCol w:w="2223"/>
                        </w:tblGrid>
                        <w:tr w:rsidR="00F24658" w:rsidRPr="00F24658" w14:paraId="31D39A21" w14:textId="77777777">
                          <w:trPr>
                            <w:tblCellSpacing w:w="0" w:type="dxa"/>
                          </w:trPr>
                          <w:tc>
                            <w:tcPr>
                              <w:tcW w:w="0" w:type="auto"/>
                              <w:shd w:val="clear" w:color="auto" w:fill="AD9156"/>
                              <w:vAlign w:val="center"/>
                              <w:hideMark/>
                            </w:tcPr>
                            <w:p w14:paraId="3C15F7E3" w14:textId="77777777" w:rsidR="00F24658" w:rsidRPr="00F24658" w:rsidRDefault="00F24658">
                              <w:pPr>
                                <w:spacing w:line="375" w:lineRule="atLeast"/>
                                <w:rPr>
                                  <w:rFonts w:ascii="Arial" w:eastAsia="Times New Roman" w:hAnsi="Arial" w:cs="Arial"/>
                                  <w:b/>
                                  <w:bCs/>
                                  <w:color w:val="FFFFFF"/>
                                  <w:sz w:val="20"/>
                                  <w:szCs w:val="20"/>
                                </w:rPr>
                              </w:pPr>
                              <w:r w:rsidRPr="00F24658">
                                <w:rPr>
                                  <w:rFonts w:ascii="Arial" w:eastAsia="Times New Roman" w:hAnsi="Arial" w:cs="Arial"/>
                                  <w:b/>
                                  <w:bCs/>
                                  <w:color w:val="FFFFFF"/>
                                  <w:sz w:val="20"/>
                                  <w:szCs w:val="20"/>
                                </w:rPr>
                                <w:t>Nieuwsbrief Spoorzone</w:t>
                              </w:r>
                            </w:p>
                          </w:tc>
                        </w:tr>
                      </w:tbl>
                      <w:p w14:paraId="1DCCB596" w14:textId="77777777" w:rsidR="00F24658" w:rsidRPr="00F24658" w:rsidRDefault="00F24658">
                        <w:pPr>
                          <w:rPr>
                            <w:rFonts w:ascii="Arial" w:eastAsia="Times New Roman" w:hAnsi="Arial" w:cs="Arial"/>
                            <w:sz w:val="20"/>
                            <w:szCs w:val="20"/>
                          </w:rPr>
                        </w:pPr>
                      </w:p>
                    </w:tc>
                  </w:tr>
                </w:tbl>
                <w:p w14:paraId="46A59C5B" w14:textId="77777777" w:rsidR="00F24658" w:rsidRPr="00F24658" w:rsidRDefault="00F24658">
                  <w:pPr>
                    <w:rPr>
                      <w:rFonts w:ascii="Arial" w:eastAsia="Times New Roman" w:hAnsi="Arial" w:cs="Arial"/>
                      <w:sz w:val="20"/>
                      <w:szCs w:val="20"/>
                    </w:rPr>
                  </w:pPr>
                </w:p>
              </w:tc>
              <w:tc>
                <w:tcPr>
                  <w:tcW w:w="3000" w:type="dxa"/>
                  <w:hideMark/>
                </w:tcPr>
                <w:tbl>
                  <w:tblPr>
                    <w:tblpPr w:vertAnchor="text" w:tblpXSpec="right" w:tblpYSpec="center"/>
                    <w:tblW w:w="2700" w:type="dxa"/>
                    <w:tblCellSpacing w:w="0" w:type="dxa"/>
                    <w:tblCellMar>
                      <w:left w:w="0" w:type="dxa"/>
                      <w:right w:w="0" w:type="dxa"/>
                    </w:tblCellMar>
                    <w:tblLook w:val="04A0" w:firstRow="1" w:lastRow="0" w:firstColumn="1" w:lastColumn="0" w:noHBand="0" w:noVBand="1"/>
                  </w:tblPr>
                  <w:tblGrid>
                    <w:gridCol w:w="2700"/>
                  </w:tblGrid>
                  <w:tr w:rsidR="00F24658" w:rsidRPr="00F24658" w14:paraId="1B4740F6" w14:textId="77777777">
                    <w:trPr>
                      <w:tblCellSpacing w:w="0" w:type="dxa"/>
                    </w:trPr>
                    <w:tc>
                      <w:tcPr>
                        <w:tcW w:w="0" w:type="auto"/>
                        <w:hideMark/>
                      </w:tcPr>
                      <w:tbl>
                        <w:tblPr>
                          <w:tblW w:w="0" w:type="auto"/>
                          <w:jc w:val="right"/>
                          <w:tblCellSpacing w:w="0" w:type="dxa"/>
                          <w:shd w:val="clear" w:color="auto" w:fill="AD9156"/>
                          <w:tblCellMar>
                            <w:left w:w="0" w:type="dxa"/>
                            <w:right w:w="0" w:type="dxa"/>
                          </w:tblCellMar>
                          <w:tblLook w:val="04A0" w:firstRow="1" w:lastRow="0" w:firstColumn="1" w:lastColumn="0" w:noHBand="0" w:noVBand="1"/>
                        </w:tblPr>
                        <w:tblGrid>
                          <w:gridCol w:w="1012"/>
                        </w:tblGrid>
                        <w:tr w:rsidR="00F24658" w:rsidRPr="00F24658" w14:paraId="003F0A31" w14:textId="77777777">
                          <w:trPr>
                            <w:tblCellSpacing w:w="0" w:type="dxa"/>
                            <w:jc w:val="right"/>
                          </w:trPr>
                          <w:tc>
                            <w:tcPr>
                              <w:tcW w:w="0" w:type="auto"/>
                              <w:shd w:val="clear" w:color="auto" w:fill="AD9156"/>
                              <w:vAlign w:val="center"/>
                              <w:hideMark/>
                            </w:tcPr>
                            <w:p w14:paraId="5A6C1A6F" w14:textId="77777777" w:rsidR="00F24658" w:rsidRPr="00F24658" w:rsidRDefault="00F24658">
                              <w:pPr>
                                <w:spacing w:line="330" w:lineRule="atLeast"/>
                                <w:jc w:val="right"/>
                                <w:rPr>
                                  <w:rFonts w:ascii="Arial" w:eastAsia="Times New Roman" w:hAnsi="Arial" w:cs="Arial"/>
                                  <w:color w:val="FFFFFF"/>
                                  <w:sz w:val="20"/>
                                  <w:szCs w:val="20"/>
                                </w:rPr>
                              </w:pPr>
                              <w:r w:rsidRPr="00F24658">
                                <w:rPr>
                                  <w:rFonts w:ascii="Arial" w:eastAsia="Times New Roman" w:hAnsi="Arial" w:cs="Arial"/>
                                  <w:color w:val="FFFFFF"/>
                                  <w:sz w:val="20"/>
                                  <w:szCs w:val="20"/>
                                </w:rPr>
                                <w:t>maart 2023</w:t>
                              </w:r>
                            </w:p>
                          </w:tc>
                        </w:tr>
                      </w:tbl>
                      <w:p w14:paraId="0D76A291" w14:textId="77777777" w:rsidR="00F24658" w:rsidRPr="00F24658" w:rsidRDefault="00F24658">
                        <w:pPr>
                          <w:jc w:val="right"/>
                          <w:rPr>
                            <w:rFonts w:ascii="Arial" w:eastAsia="Times New Roman" w:hAnsi="Arial" w:cs="Arial"/>
                            <w:sz w:val="20"/>
                            <w:szCs w:val="20"/>
                          </w:rPr>
                        </w:pPr>
                      </w:p>
                    </w:tc>
                  </w:tr>
                </w:tbl>
                <w:p w14:paraId="1793ECA0" w14:textId="77777777" w:rsidR="00F24658" w:rsidRPr="00F24658" w:rsidRDefault="00F24658">
                  <w:pPr>
                    <w:rPr>
                      <w:rFonts w:ascii="Arial" w:eastAsia="Times New Roman" w:hAnsi="Arial" w:cs="Arial"/>
                      <w:sz w:val="20"/>
                      <w:szCs w:val="20"/>
                    </w:rPr>
                  </w:pPr>
                </w:p>
              </w:tc>
            </w:tr>
          </w:tbl>
          <w:p w14:paraId="37B59166" w14:textId="77777777" w:rsidR="00F24658" w:rsidRPr="00F24658" w:rsidRDefault="00F24658">
            <w:pPr>
              <w:jc w:val="center"/>
              <w:rPr>
                <w:rFonts w:ascii="Arial" w:eastAsia="Times New Roman" w:hAnsi="Arial" w:cs="Arial"/>
                <w:sz w:val="20"/>
                <w:szCs w:val="20"/>
              </w:rPr>
            </w:pPr>
          </w:p>
        </w:tc>
      </w:tr>
      <w:tr w:rsidR="00F24658" w:rsidRPr="00F24658" w14:paraId="5E6941ED" w14:textId="77777777" w:rsidTr="00F24658">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5E3BD667"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65248860" w14:textId="77777777">
                    <w:trPr>
                      <w:tblCellSpacing w:w="0" w:type="dxa"/>
                      <w:jc w:val="center"/>
                    </w:trPr>
                    <w:tc>
                      <w:tcPr>
                        <w:tcW w:w="0" w:type="auto"/>
                        <w:vAlign w:val="center"/>
                        <w:hideMark/>
                      </w:tcPr>
                      <w:p w14:paraId="1A4BB326" w14:textId="5875CA10"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3D4DCC23" wp14:editId="7DCA6446">
                              <wp:extent cx="5715000" cy="2895600"/>
                              <wp:effectExtent l="0" t="0" r="0" b="0"/>
                              <wp:docPr id="33356947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tc>
                  </w:tr>
                </w:tbl>
                <w:p w14:paraId="4590C755" w14:textId="77777777" w:rsidR="00F24658" w:rsidRPr="00F24658" w:rsidRDefault="00F24658">
                  <w:pPr>
                    <w:jc w:val="center"/>
                    <w:rPr>
                      <w:rFonts w:ascii="Arial" w:eastAsia="Times New Roman" w:hAnsi="Arial" w:cs="Arial"/>
                      <w:sz w:val="20"/>
                      <w:szCs w:val="20"/>
                    </w:rPr>
                  </w:pPr>
                </w:p>
              </w:tc>
            </w:tr>
            <w:tr w:rsidR="00F24658" w:rsidRPr="00F24658" w14:paraId="7D3D28D9" w14:textId="77777777">
              <w:trPr>
                <w:trHeight w:val="600"/>
                <w:tblCellSpacing w:w="0" w:type="dxa"/>
              </w:trPr>
              <w:tc>
                <w:tcPr>
                  <w:tcW w:w="0" w:type="auto"/>
                  <w:vAlign w:val="center"/>
                  <w:hideMark/>
                </w:tcPr>
                <w:p w14:paraId="389D150B" w14:textId="77777777"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 </w:t>
                  </w:r>
                </w:p>
              </w:tc>
            </w:tr>
          </w:tbl>
          <w:p w14:paraId="2E551594"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597BEAEF"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0350755A" w14:textId="77777777">
                    <w:trPr>
                      <w:tblCellSpacing w:w="0" w:type="dxa"/>
                      <w:jc w:val="center"/>
                    </w:trPr>
                    <w:tc>
                      <w:tcPr>
                        <w:tcW w:w="0" w:type="auto"/>
                        <w:tcMar>
                          <w:top w:w="0" w:type="dxa"/>
                          <w:left w:w="0" w:type="dxa"/>
                          <w:bottom w:w="135" w:type="dxa"/>
                          <w:right w:w="0" w:type="dxa"/>
                        </w:tcMar>
                        <w:hideMark/>
                      </w:tcPr>
                      <w:p w14:paraId="11299547" w14:textId="77777777" w:rsidR="00F24658" w:rsidRPr="00F24658" w:rsidRDefault="00F24658">
                        <w:pPr>
                          <w:spacing w:line="405" w:lineRule="atLeast"/>
                          <w:rPr>
                            <w:rFonts w:ascii="Arial" w:eastAsia="Times New Roman" w:hAnsi="Arial" w:cs="Arial"/>
                            <w:b/>
                            <w:bCs/>
                            <w:color w:val="00205C"/>
                            <w:sz w:val="20"/>
                            <w:szCs w:val="20"/>
                          </w:rPr>
                        </w:pPr>
                        <w:r w:rsidRPr="00F24658">
                          <w:rPr>
                            <w:rFonts w:ascii="Arial" w:eastAsia="Times New Roman" w:hAnsi="Arial" w:cs="Arial"/>
                            <w:b/>
                            <w:bCs/>
                            <w:color w:val="00205C"/>
                            <w:sz w:val="20"/>
                            <w:szCs w:val="20"/>
                          </w:rPr>
                          <w:t>Nieuwe fase breekt aan voor Bossche Stadsdelta</w:t>
                        </w:r>
                      </w:p>
                    </w:tc>
                  </w:tr>
                  <w:tr w:rsidR="00F24658" w:rsidRPr="00F24658" w14:paraId="208ECA51" w14:textId="77777777">
                    <w:trPr>
                      <w:tblCellSpacing w:w="0" w:type="dxa"/>
                      <w:jc w:val="center"/>
                    </w:trPr>
                    <w:tc>
                      <w:tcPr>
                        <w:tcW w:w="0" w:type="auto"/>
                        <w:hideMark/>
                      </w:tcPr>
                      <w:p w14:paraId="40B2A5C8" w14:textId="77777777" w:rsidR="00F24658" w:rsidRPr="00F24658" w:rsidRDefault="00F24658">
                        <w:pPr>
                          <w:spacing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Het is even stil geweest, maar er is zeker niet stilgezeten. Er is weer een nieuwe slag gemaakt in het project Bossche Stadsdelta. Na alle onderzoeken en de resultaten uit de haalbaarheidsfase is er voldoende basis om de plannen te gaan uitwerken. Dit doen we samen met stakeholders en belanghebbenden. De ontwikkeling zal gefaseerd in deelgebieden verlopen.</w:t>
                        </w:r>
                      </w:p>
                    </w:tc>
                  </w:tr>
                </w:tbl>
                <w:p w14:paraId="20F45C0C" w14:textId="77777777" w:rsidR="00F24658" w:rsidRPr="00F24658" w:rsidRDefault="00F24658">
                  <w:pPr>
                    <w:jc w:val="center"/>
                    <w:rPr>
                      <w:rFonts w:ascii="Arial" w:eastAsia="Times New Roman" w:hAnsi="Arial" w:cs="Arial"/>
                      <w:sz w:val="20"/>
                      <w:szCs w:val="20"/>
                    </w:rPr>
                  </w:pPr>
                </w:p>
              </w:tc>
            </w:tr>
          </w:tbl>
          <w:p w14:paraId="01F0C3F8"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76616B90"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27A6445A" w14:textId="77777777">
                    <w:trPr>
                      <w:tblCellSpacing w:w="0" w:type="dxa"/>
                      <w:jc w:val="center"/>
                    </w:trPr>
                    <w:tc>
                      <w:tcPr>
                        <w:tcW w:w="0" w:type="auto"/>
                        <w:vAlign w:val="center"/>
                        <w:hideMark/>
                      </w:tcPr>
                      <w:p w14:paraId="0C9ABF36" w14:textId="31665FC4"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6C9D2BB6" wp14:editId="4F48A81E">
                              <wp:extent cx="5715000" cy="3333750"/>
                              <wp:effectExtent l="0" t="0" r="0" b="0"/>
                              <wp:docPr id="83023464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tc>
                  </w:tr>
                </w:tbl>
                <w:p w14:paraId="3098F0FA" w14:textId="77777777" w:rsidR="00F24658" w:rsidRPr="00F24658" w:rsidRDefault="00F24658">
                  <w:pPr>
                    <w:jc w:val="center"/>
                    <w:rPr>
                      <w:rFonts w:ascii="Arial" w:eastAsia="Times New Roman" w:hAnsi="Arial" w:cs="Arial"/>
                      <w:sz w:val="20"/>
                      <w:szCs w:val="20"/>
                    </w:rPr>
                  </w:pPr>
                </w:p>
              </w:tc>
            </w:tr>
            <w:tr w:rsidR="00F24658" w:rsidRPr="00F24658" w14:paraId="4D08E675" w14:textId="77777777">
              <w:trPr>
                <w:trHeight w:val="600"/>
                <w:tblCellSpacing w:w="0" w:type="dxa"/>
              </w:trPr>
              <w:tc>
                <w:tcPr>
                  <w:tcW w:w="0" w:type="auto"/>
                  <w:vAlign w:val="center"/>
                  <w:hideMark/>
                </w:tcPr>
                <w:p w14:paraId="1268797A" w14:textId="77777777"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lastRenderedPageBreak/>
                    <w:t> </w:t>
                  </w:r>
                </w:p>
              </w:tc>
            </w:tr>
          </w:tbl>
          <w:p w14:paraId="697DE5A0"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4B9F33D0"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147A139B" w14:textId="77777777">
                    <w:trPr>
                      <w:tblCellSpacing w:w="0" w:type="dxa"/>
                      <w:jc w:val="center"/>
                    </w:trPr>
                    <w:tc>
                      <w:tcPr>
                        <w:tcW w:w="0" w:type="auto"/>
                        <w:tcMar>
                          <w:top w:w="0" w:type="dxa"/>
                          <w:left w:w="0" w:type="dxa"/>
                          <w:bottom w:w="135" w:type="dxa"/>
                          <w:right w:w="0" w:type="dxa"/>
                        </w:tcMar>
                        <w:hideMark/>
                      </w:tcPr>
                      <w:p w14:paraId="1DDF2423" w14:textId="77777777" w:rsidR="00F24658" w:rsidRPr="00F24658" w:rsidRDefault="00F24658">
                        <w:pPr>
                          <w:spacing w:line="405" w:lineRule="atLeast"/>
                          <w:rPr>
                            <w:rFonts w:ascii="Arial" w:eastAsia="Times New Roman" w:hAnsi="Arial" w:cs="Arial"/>
                            <w:b/>
                            <w:bCs/>
                            <w:color w:val="00205C"/>
                            <w:sz w:val="20"/>
                            <w:szCs w:val="20"/>
                          </w:rPr>
                        </w:pPr>
                        <w:r w:rsidRPr="00F24658">
                          <w:rPr>
                            <w:rFonts w:ascii="Arial" w:eastAsia="Times New Roman" w:hAnsi="Arial" w:cs="Arial"/>
                            <w:b/>
                            <w:bCs/>
                            <w:color w:val="00205C"/>
                            <w:sz w:val="20"/>
                            <w:szCs w:val="20"/>
                          </w:rPr>
                          <w:t>Resultaten Haalbaarheidsanalyse</w:t>
                        </w:r>
                      </w:p>
                    </w:tc>
                  </w:tr>
                  <w:tr w:rsidR="00F24658" w:rsidRPr="00F24658" w14:paraId="2F00A0C7" w14:textId="77777777">
                    <w:trPr>
                      <w:tblCellSpacing w:w="0" w:type="dxa"/>
                      <w:jc w:val="center"/>
                    </w:trPr>
                    <w:tc>
                      <w:tcPr>
                        <w:tcW w:w="0" w:type="auto"/>
                        <w:tcMar>
                          <w:top w:w="0" w:type="dxa"/>
                          <w:left w:w="0" w:type="dxa"/>
                          <w:bottom w:w="300" w:type="dxa"/>
                          <w:right w:w="0" w:type="dxa"/>
                        </w:tcMar>
                        <w:hideMark/>
                      </w:tcPr>
                      <w:p w14:paraId="2A4EE053" w14:textId="77777777" w:rsidR="00F24658" w:rsidRPr="00F24658" w:rsidRDefault="00F24658">
                        <w:pPr>
                          <w:spacing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In 2020 heeft de raad het Gebiedsperspectief Bossche Stadsdelta vastgesteld. Hierin kwamen veel ambities samen, waardoor een haalbaarheidsfase nodig was om te kijken of we al die ambities ook haalbaar konden maken. Deze is nu afgerond en de conclusie is dat de beoogde gebiedsontwikkeling inderdaad haalbaar is. Aanvullend zijn ook de nieuwe opgaven uit het bestuursakkoord meegenomen, waaronder een meer betaalbaar woningprogramma, een Design Museum en een centrumgarage.</w:t>
                        </w:r>
                        <w:r w:rsidRPr="00F24658">
                          <w:rPr>
                            <w:rFonts w:ascii="Arial" w:eastAsia="Times New Roman" w:hAnsi="Arial" w:cs="Arial"/>
                            <w:color w:val="000000"/>
                            <w:sz w:val="20"/>
                            <w:szCs w:val="20"/>
                          </w:rPr>
                          <w:br/>
                          <w:t> </w:t>
                        </w:r>
                        <w:r w:rsidRPr="00F24658">
                          <w:rPr>
                            <w:rFonts w:ascii="Arial" w:eastAsia="Times New Roman" w:hAnsi="Arial" w:cs="Arial"/>
                            <w:color w:val="000000"/>
                            <w:sz w:val="20"/>
                            <w:szCs w:val="20"/>
                          </w:rPr>
                          <w:br/>
                          <w:t xml:space="preserve">In het gebied tussen de Citadel en het spoor, dat zowel de noordzijde als de zuidzijde van Dieze beslaat, kunnen nog meer woningen gebouwd worden dan eerder in het Gebiedsperspectief was voorzien. Daarbij zet het college nog nadrukkelijker in op woningen voor alle doelgroepen, dus een groter aandeel sociale en ook betaalbare woningen. Het wordt een nieuw levendig stuk stad, in aanvulling op de binnenstad. Met circa 45.000 m² voor andere functies dan wonen, biedt het gebied extra ruimte voor cultuur, werken, </w:t>
                        </w:r>
                        <w:proofErr w:type="spellStart"/>
                        <w:r w:rsidRPr="00F24658">
                          <w:rPr>
                            <w:rFonts w:ascii="Arial" w:eastAsia="Times New Roman" w:hAnsi="Arial" w:cs="Arial"/>
                            <w:color w:val="000000"/>
                            <w:sz w:val="20"/>
                            <w:szCs w:val="20"/>
                          </w:rPr>
                          <w:t>leisure</w:t>
                        </w:r>
                        <w:proofErr w:type="spellEnd"/>
                        <w:r w:rsidRPr="00F24658">
                          <w:rPr>
                            <w:rFonts w:ascii="Arial" w:eastAsia="Times New Roman" w:hAnsi="Arial" w:cs="Arial"/>
                            <w:color w:val="000000"/>
                            <w:sz w:val="20"/>
                            <w:szCs w:val="20"/>
                          </w:rPr>
                          <w:t xml:space="preserve"> en horeca. Die functies krijgen dus meer ruimte dan wat er nu is. Ook wordt ingezet op een aantrekkelijke en gezonde buitenruimte. Zo komt er een oeverpark en aantrekkelijke routes die uitnodigen tot bewegen en ontmoeten. Het parkeren gebeurt niet op straat, maar uit het zicht in parkeergarages.</w:t>
                        </w:r>
                      </w:p>
                    </w:tc>
                  </w:tr>
                  <w:tr w:rsidR="00F24658" w:rsidRPr="00F24658" w14:paraId="429B66ED"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50"/>
                          <w:gridCol w:w="2250"/>
                        </w:tblGrid>
                        <w:tr w:rsidR="00F24658" w:rsidRPr="00F24658" w14:paraId="03E05953" w14:textId="77777777">
                          <w:trPr>
                            <w:tblCellSpacing w:w="0" w:type="dxa"/>
                          </w:trPr>
                          <w:tc>
                            <w:tcPr>
                              <w:tcW w:w="0" w:type="auto"/>
                              <w:hideMark/>
                            </w:tcPr>
                            <w:tbl>
                              <w:tblPr>
                                <w:tblpPr w:vertAnchor="text"/>
                                <w:tblW w:w="6750" w:type="dxa"/>
                                <w:tblCellSpacing w:w="0" w:type="dxa"/>
                                <w:tblCellMar>
                                  <w:left w:w="0" w:type="dxa"/>
                                  <w:right w:w="0" w:type="dxa"/>
                                </w:tblCellMar>
                                <w:tblLook w:val="04A0" w:firstRow="1" w:lastRow="0" w:firstColumn="1" w:lastColumn="0" w:noHBand="0" w:noVBand="1"/>
                              </w:tblPr>
                              <w:tblGrid>
                                <w:gridCol w:w="6750"/>
                              </w:tblGrid>
                              <w:tr w:rsidR="00F24658" w:rsidRPr="00F24658" w14:paraId="3EEE4BA7"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365"/>
                                    </w:tblGrid>
                                    <w:tr w:rsidR="00F24658" w:rsidRPr="00F24658" w14:paraId="0987AAC1" w14:textId="77777777">
                                      <w:trPr>
                                        <w:trHeight w:val="15"/>
                                        <w:tblCellSpacing w:w="0" w:type="dxa"/>
                                      </w:trPr>
                                      <w:tc>
                                        <w:tcPr>
                                          <w:tcW w:w="0" w:type="auto"/>
                                          <w:shd w:val="clear" w:color="auto" w:fill="00205C"/>
                                          <w:vAlign w:val="center"/>
                                          <w:hideMark/>
                                        </w:tcPr>
                                        <w:p w14:paraId="4624B6DA" w14:textId="2AA815C2"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64A2CC84" wp14:editId="639D7540">
                                                <wp:extent cx="9525" cy="9525"/>
                                                <wp:effectExtent l="0" t="0" r="0" b="0"/>
                                                <wp:docPr id="112056225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24658" w:rsidRPr="00F24658" w14:paraId="70695A4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2335"/>
                                            <w:gridCol w:w="15"/>
                                          </w:tblGrid>
                                          <w:tr w:rsidR="00F24658" w:rsidRPr="00F24658" w14:paraId="338F9409" w14:textId="77777777">
                                            <w:trPr>
                                              <w:tblCellSpacing w:w="0" w:type="dxa"/>
                                            </w:trPr>
                                            <w:tc>
                                              <w:tcPr>
                                                <w:tcW w:w="15" w:type="dxa"/>
                                                <w:shd w:val="clear" w:color="auto" w:fill="00205C"/>
                                                <w:vAlign w:val="center"/>
                                                <w:hideMark/>
                                              </w:tcPr>
                                              <w:p w14:paraId="34AE749F" w14:textId="76F053A8"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548CD744" wp14:editId="57E49336">
                                                      <wp:extent cx="9525" cy="9525"/>
                                                      <wp:effectExtent l="0" t="0" r="0" b="0"/>
                                                      <wp:docPr id="6372195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335"/>
                                                </w:tblGrid>
                                                <w:tr w:rsidR="00F24658" w:rsidRPr="00F24658" w14:paraId="1D51B7AA" w14:textId="77777777">
                                                  <w:trPr>
                                                    <w:tblCellSpacing w:w="0" w:type="dxa"/>
                                                  </w:trPr>
                                                  <w:tc>
                                                    <w:tcPr>
                                                      <w:tcW w:w="0" w:type="auto"/>
                                                      <w:tcMar>
                                                        <w:top w:w="120" w:type="dxa"/>
                                                        <w:left w:w="300" w:type="dxa"/>
                                                        <w:bottom w:w="135" w:type="dxa"/>
                                                        <w:right w:w="300" w:type="dxa"/>
                                                      </w:tcMar>
                                                      <w:vAlign w:val="center"/>
                                                      <w:hideMark/>
                                                    </w:tcPr>
                                                    <w:p w14:paraId="23BCCEAE" w14:textId="77777777" w:rsidR="00F24658" w:rsidRPr="00F24658" w:rsidRDefault="00F24658">
                                                      <w:pPr>
                                                        <w:jc w:val="center"/>
                                                        <w:rPr>
                                                          <w:rFonts w:ascii="Arial" w:eastAsia="Times New Roman" w:hAnsi="Arial" w:cs="Arial"/>
                                                          <w:color w:val="000000"/>
                                                          <w:sz w:val="20"/>
                                                          <w:szCs w:val="20"/>
                                                        </w:rPr>
                                                      </w:pPr>
                                                      <w:hyperlink r:id="rId8" w:tgtFrame="_blank" w:history="1">
                                                        <w:r w:rsidRPr="00F24658">
                                                          <w:rPr>
                                                            <w:rStyle w:val="Hyperlink"/>
                                                            <w:rFonts w:ascii="Arial" w:eastAsia="Times New Roman" w:hAnsi="Arial" w:cs="Arial"/>
                                                            <w:color w:val="000000"/>
                                                            <w:sz w:val="20"/>
                                                            <w:szCs w:val="20"/>
                                                          </w:rPr>
                                                          <w:t>Lees de rapportage</w:t>
                                                        </w:r>
                                                      </w:hyperlink>
                                                    </w:p>
                                                  </w:tc>
                                                </w:tr>
                                              </w:tbl>
                                              <w:p w14:paraId="62FFAF0D" w14:textId="77777777" w:rsidR="00F24658" w:rsidRPr="00F24658" w:rsidRDefault="00F24658">
                                                <w:pPr>
                                                  <w:rPr>
                                                    <w:rFonts w:ascii="Arial" w:eastAsia="Times New Roman" w:hAnsi="Arial" w:cs="Arial"/>
                                                    <w:sz w:val="20"/>
                                                    <w:szCs w:val="20"/>
                                                  </w:rPr>
                                                </w:pPr>
                                              </w:p>
                                            </w:tc>
                                            <w:tc>
                                              <w:tcPr>
                                                <w:tcW w:w="15" w:type="dxa"/>
                                                <w:shd w:val="clear" w:color="auto" w:fill="00205C"/>
                                                <w:vAlign w:val="center"/>
                                                <w:hideMark/>
                                              </w:tcPr>
                                              <w:p w14:paraId="05EB6BB4" w14:textId="6190D8C2"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3A2B3A73" wp14:editId="22884A23">
                                                      <wp:extent cx="9525" cy="9525"/>
                                                      <wp:effectExtent l="0" t="0" r="0" b="0"/>
                                                      <wp:docPr id="187999678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62EE73A" w14:textId="77777777" w:rsidR="00F24658" w:rsidRPr="00F24658" w:rsidRDefault="00F24658">
                                          <w:pPr>
                                            <w:rPr>
                                              <w:rFonts w:ascii="Arial" w:eastAsia="Times New Roman" w:hAnsi="Arial" w:cs="Arial"/>
                                              <w:sz w:val="20"/>
                                              <w:szCs w:val="20"/>
                                            </w:rPr>
                                          </w:pPr>
                                        </w:p>
                                      </w:tc>
                                    </w:tr>
                                    <w:tr w:rsidR="00F24658" w:rsidRPr="00F24658" w14:paraId="0707843D" w14:textId="77777777">
                                      <w:trPr>
                                        <w:trHeight w:val="15"/>
                                        <w:tblCellSpacing w:w="0" w:type="dxa"/>
                                      </w:trPr>
                                      <w:tc>
                                        <w:tcPr>
                                          <w:tcW w:w="0" w:type="auto"/>
                                          <w:shd w:val="clear" w:color="auto" w:fill="00205C"/>
                                          <w:vAlign w:val="center"/>
                                          <w:hideMark/>
                                        </w:tcPr>
                                        <w:p w14:paraId="14B88D0A" w14:textId="055CB660"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276E1316" wp14:editId="7F23395E">
                                                <wp:extent cx="9525" cy="9525"/>
                                                <wp:effectExtent l="0" t="0" r="0" b="0"/>
                                                <wp:docPr id="1159450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668D633" w14:textId="77777777" w:rsidR="00F24658" w:rsidRPr="00F24658" w:rsidRDefault="00F24658">
                                    <w:pPr>
                                      <w:rPr>
                                        <w:rFonts w:ascii="Arial" w:eastAsia="Times New Roman" w:hAnsi="Arial" w:cs="Arial"/>
                                        <w:sz w:val="20"/>
                                        <w:szCs w:val="20"/>
                                      </w:rPr>
                                    </w:pPr>
                                  </w:p>
                                </w:tc>
                              </w:tr>
                            </w:tbl>
                            <w:p w14:paraId="56D91970" w14:textId="77777777" w:rsidR="00F24658" w:rsidRPr="00F24658" w:rsidRDefault="00F24658">
                              <w:pPr>
                                <w:rPr>
                                  <w:rFonts w:ascii="Arial" w:eastAsia="Times New Roman" w:hAnsi="Arial" w:cs="Arial"/>
                                  <w:sz w:val="20"/>
                                  <w:szCs w:val="20"/>
                                </w:rPr>
                              </w:pPr>
                            </w:p>
                          </w:tc>
                          <w:tc>
                            <w:tcPr>
                              <w:tcW w:w="2250" w:type="dxa"/>
                              <w:hideMark/>
                            </w:tcPr>
                            <w:tbl>
                              <w:tblPr>
                                <w:tblpPr w:vertAnchor="text" w:tblpXSpec="right" w:tblpYSpec="center"/>
                                <w:tblW w:w="1950" w:type="dxa"/>
                                <w:tblCellSpacing w:w="0" w:type="dxa"/>
                                <w:tblCellMar>
                                  <w:left w:w="0" w:type="dxa"/>
                                  <w:right w:w="0" w:type="dxa"/>
                                </w:tblCellMar>
                                <w:tblLook w:val="04A0" w:firstRow="1" w:lastRow="0" w:firstColumn="1" w:lastColumn="0" w:noHBand="0" w:noVBand="1"/>
                              </w:tblPr>
                              <w:tblGrid>
                                <w:gridCol w:w="1950"/>
                              </w:tblGrid>
                              <w:tr w:rsidR="00F24658" w:rsidRPr="00F24658" w14:paraId="2BA03105" w14:textId="77777777">
                                <w:trPr>
                                  <w:trHeight w:val="555"/>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F24658" w:rsidRPr="00F24658" w14:paraId="7A47C2CC" w14:textId="77777777">
                                      <w:trPr>
                                        <w:tblCellSpacing w:w="0" w:type="dxa"/>
                                        <w:jc w:val="right"/>
                                      </w:trPr>
                                      <w:tc>
                                        <w:tcPr>
                                          <w:tcW w:w="0" w:type="auto"/>
                                          <w:vAlign w:val="center"/>
                                          <w:hideMark/>
                                        </w:tcPr>
                                        <w:p w14:paraId="61B1BA5F" w14:textId="77777777" w:rsidR="00F24658" w:rsidRPr="00F24658" w:rsidRDefault="00F24658">
                                          <w:pPr>
                                            <w:rPr>
                                              <w:rFonts w:ascii="Arial" w:eastAsia="Times New Roman" w:hAnsi="Arial" w:cs="Arial"/>
                                              <w:sz w:val="20"/>
                                              <w:szCs w:val="20"/>
                                            </w:rPr>
                                          </w:pPr>
                                        </w:p>
                                      </w:tc>
                                    </w:tr>
                                  </w:tbl>
                                  <w:p w14:paraId="2E0908B7" w14:textId="77777777" w:rsidR="00F24658" w:rsidRPr="00F24658" w:rsidRDefault="00F24658">
                                    <w:pPr>
                                      <w:jc w:val="right"/>
                                      <w:rPr>
                                        <w:rFonts w:ascii="Arial" w:eastAsia="Times New Roman" w:hAnsi="Arial" w:cs="Arial"/>
                                        <w:sz w:val="20"/>
                                        <w:szCs w:val="20"/>
                                      </w:rPr>
                                    </w:pPr>
                                  </w:p>
                                </w:tc>
                              </w:tr>
                            </w:tbl>
                            <w:p w14:paraId="3B854CCE" w14:textId="77777777" w:rsidR="00F24658" w:rsidRPr="00F24658" w:rsidRDefault="00F24658">
                              <w:pPr>
                                <w:rPr>
                                  <w:rFonts w:ascii="Arial" w:eastAsia="Times New Roman" w:hAnsi="Arial" w:cs="Arial"/>
                                  <w:sz w:val="20"/>
                                  <w:szCs w:val="20"/>
                                </w:rPr>
                              </w:pPr>
                            </w:p>
                          </w:tc>
                        </w:tr>
                      </w:tbl>
                      <w:p w14:paraId="50CF7A80" w14:textId="77777777" w:rsidR="00F24658" w:rsidRPr="00F24658" w:rsidRDefault="00F24658">
                        <w:pPr>
                          <w:rPr>
                            <w:rFonts w:ascii="Arial" w:eastAsia="Times New Roman" w:hAnsi="Arial" w:cs="Arial"/>
                            <w:sz w:val="20"/>
                            <w:szCs w:val="20"/>
                          </w:rPr>
                        </w:pPr>
                      </w:p>
                    </w:tc>
                  </w:tr>
                </w:tbl>
                <w:p w14:paraId="5EC8778D" w14:textId="77777777" w:rsidR="00F24658" w:rsidRPr="00F24658" w:rsidRDefault="00F24658">
                  <w:pPr>
                    <w:jc w:val="center"/>
                    <w:rPr>
                      <w:rFonts w:ascii="Arial" w:eastAsia="Times New Roman" w:hAnsi="Arial" w:cs="Arial"/>
                      <w:sz w:val="20"/>
                      <w:szCs w:val="20"/>
                    </w:rPr>
                  </w:pPr>
                </w:p>
              </w:tc>
            </w:tr>
          </w:tbl>
          <w:p w14:paraId="3593995D"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1E5EAA5E"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1EC463D5" w14:textId="77777777">
                    <w:trPr>
                      <w:tblCellSpacing w:w="0" w:type="dxa"/>
                      <w:jc w:val="center"/>
                    </w:trPr>
                    <w:tc>
                      <w:tcPr>
                        <w:tcW w:w="0" w:type="auto"/>
                        <w:vAlign w:val="center"/>
                        <w:hideMark/>
                      </w:tcPr>
                      <w:p w14:paraId="7A6F66B7" w14:textId="462F395B"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noProof/>
                            <w:color w:val="000000"/>
                            <w:sz w:val="20"/>
                            <w:szCs w:val="20"/>
                          </w:rPr>
                          <w:drawing>
                            <wp:inline distT="0" distB="0" distL="0" distR="0" wp14:anchorId="44DF0D81" wp14:editId="689C106E">
                              <wp:extent cx="5715000" cy="2857500"/>
                              <wp:effectExtent l="0" t="0" r="0" b="0"/>
                              <wp:docPr id="14342661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14:paraId="6F36A4D6" w14:textId="77777777" w:rsidR="00F24658" w:rsidRPr="00F24658" w:rsidRDefault="00F24658">
                  <w:pPr>
                    <w:jc w:val="center"/>
                    <w:rPr>
                      <w:rFonts w:ascii="Arial" w:eastAsia="Times New Roman" w:hAnsi="Arial" w:cs="Arial"/>
                      <w:sz w:val="20"/>
                      <w:szCs w:val="20"/>
                    </w:rPr>
                  </w:pPr>
                </w:p>
              </w:tc>
            </w:tr>
            <w:tr w:rsidR="00F24658" w:rsidRPr="00F24658" w14:paraId="0276A92D" w14:textId="77777777">
              <w:trPr>
                <w:trHeight w:val="600"/>
                <w:tblCellSpacing w:w="0" w:type="dxa"/>
              </w:trPr>
              <w:tc>
                <w:tcPr>
                  <w:tcW w:w="0" w:type="auto"/>
                  <w:vAlign w:val="center"/>
                  <w:hideMark/>
                </w:tcPr>
                <w:p w14:paraId="30BA9F1B" w14:textId="77777777" w:rsidR="00F24658" w:rsidRPr="00F24658" w:rsidRDefault="00F24658">
                  <w:pPr>
                    <w:spacing w:line="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 </w:t>
                  </w:r>
                </w:p>
              </w:tc>
            </w:tr>
          </w:tbl>
          <w:p w14:paraId="1D44D913"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57FF0ED5"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76287F43" w14:textId="77777777">
                    <w:trPr>
                      <w:tblCellSpacing w:w="0" w:type="dxa"/>
                      <w:jc w:val="center"/>
                    </w:trPr>
                    <w:tc>
                      <w:tcPr>
                        <w:tcW w:w="0" w:type="auto"/>
                        <w:tcMar>
                          <w:top w:w="0" w:type="dxa"/>
                          <w:left w:w="0" w:type="dxa"/>
                          <w:bottom w:w="135" w:type="dxa"/>
                          <w:right w:w="0" w:type="dxa"/>
                        </w:tcMar>
                        <w:hideMark/>
                      </w:tcPr>
                      <w:p w14:paraId="75486A72" w14:textId="77777777" w:rsidR="00F24658" w:rsidRPr="00F24658" w:rsidRDefault="00F24658">
                        <w:pPr>
                          <w:spacing w:line="405" w:lineRule="atLeast"/>
                          <w:rPr>
                            <w:rFonts w:ascii="Arial" w:eastAsia="Times New Roman" w:hAnsi="Arial" w:cs="Arial"/>
                            <w:b/>
                            <w:bCs/>
                            <w:color w:val="00205C"/>
                            <w:sz w:val="20"/>
                            <w:szCs w:val="20"/>
                          </w:rPr>
                        </w:pPr>
                        <w:r w:rsidRPr="00F24658">
                          <w:rPr>
                            <w:rFonts w:ascii="Arial" w:eastAsia="Times New Roman" w:hAnsi="Arial" w:cs="Arial"/>
                            <w:b/>
                            <w:bCs/>
                            <w:color w:val="00205C"/>
                            <w:sz w:val="20"/>
                            <w:szCs w:val="20"/>
                          </w:rPr>
                          <w:lastRenderedPageBreak/>
                          <w:t>Volgende stappen</w:t>
                        </w:r>
                      </w:p>
                    </w:tc>
                  </w:tr>
                  <w:tr w:rsidR="00F24658" w:rsidRPr="00F24658" w14:paraId="22B79A93" w14:textId="77777777">
                    <w:trPr>
                      <w:tblCellSpacing w:w="0" w:type="dxa"/>
                      <w:jc w:val="center"/>
                    </w:trPr>
                    <w:tc>
                      <w:tcPr>
                        <w:tcW w:w="0" w:type="auto"/>
                        <w:hideMark/>
                      </w:tcPr>
                      <w:p w14:paraId="0AA72441" w14:textId="77777777" w:rsidR="00F24658" w:rsidRPr="00F24658" w:rsidRDefault="00F24658">
                        <w:pPr>
                          <w:spacing w:line="360" w:lineRule="atLeast"/>
                          <w:rPr>
                            <w:rFonts w:ascii="Arial" w:eastAsia="Times New Roman" w:hAnsi="Arial" w:cs="Arial"/>
                            <w:color w:val="000000"/>
                            <w:sz w:val="20"/>
                            <w:szCs w:val="20"/>
                          </w:rPr>
                        </w:pPr>
                        <w:r w:rsidRPr="00F24658">
                          <w:rPr>
                            <w:rFonts w:ascii="Arial" w:eastAsia="Times New Roman" w:hAnsi="Arial" w:cs="Arial"/>
                            <w:b/>
                            <w:bCs/>
                            <w:color w:val="000000"/>
                            <w:sz w:val="20"/>
                            <w:szCs w:val="20"/>
                          </w:rPr>
                          <w:t>Inloopbijeenkomsten april</w:t>
                        </w:r>
                        <w:r w:rsidRPr="00F24658">
                          <w:rPr>
                            <w:rFonts w:ascii="Arial" w:eastAsia="Times New Roman" w:hAnsi="Arial" w:cs="Arial"/>
                            <w:color w:val="000000"/>
                            <w:sz w:val="20"/>
                            <w:szCs w:val="20"/>
                          </w:rPr>
                          <w:br/>
                          <w:t>Heb je vragen naar aanleiding van de haalbaarheidsresultaten? In april kan je langskomen op de Tramkade. Daar kun je in gesprek met medewerkers van het projectteam en vragen stellen.</w:t>
                        </w:r>
                        <w:r w:rsidRPr="00F24658">
                          <w:rPr>
                            <w:rFonts w:ascii="Arial" w:eastAsia="Times New Roman" w:hAnsi="Arial" w:cs="Arial"/>
                            <w:color w:val="000000"/>
                            <w:sz w:val="20"/>
                            <w:szCs w:val="20"/>
                          </w:rPr>
                          <w:br/>
                        </w:r>
                        <w:r w:rsidRPr="00F24658">
                          <w:rPr>
                            <w:rFonts w:ascii="Arial" w:eastAsia="Times New Roman" w:hAnsi="Arial" w:cs="Arial"/>
                            <w:color w:val="000000"/>
                            <w:sz w:val="20"/>
                            <w:szCs w:val="20"/>
                          </w:rPr>
                          <w:br/>
                          <w:t>Je bent van harte welkom op adres Tramkade 28 op de volgende data:</w:t>
                        </w:r>
                      </w:p>
                      <w:p w14:paraId="49268F47" w14:textId="77777777" w:rsidR="00F24658" w:rsidRPr="00F24658" w:rsidRDefault="00F24658" w:rsidP="00AF0C4D">
                        <w:pPr>
                          <w:numPr>
                            <w:ilvl w:val="0"/>
                            <w:numId w:val="1"/>
                          </w:numPr>
                          <w:spacing w:before="100" w:beforeAutospacing="1" w:after="100" w:afterAutospacing="1"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Woensdag 5 april 12:00 - 17:00 uur</w:t>
                        </w:r>
                      </w:p>
                      <w:p w14:paraId="67538370" w14:textId="77777777" w:rsidR="00F24658" w:rsidRPr="00F24658" w:rsidRDefault="00F24658" w:rsidP="00AF0C4D">
                        <w:pPr>
                          <w:numPr>
                            <w:ilvl w:val="0"/>
                            <w:numId w:val="1"/>
                          </w:numPr>
                          <w:spacing w:before="100" w:beforeAutospacing="1" w:after="100" w:afterAutospacing="1"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Woensdag 12 april 12:00 - 17:00 uur</w:t>
                        </w:r>
                      </w:p>
                      <w:p w14:paraId="09E64811" w14:textId="77777777" w:rsidR="00F24658" w:rsidRPr="00F24658" w:rsidRDefault="00F24658" w:rsidP="00AF0C4D">
                        <w:pPr>
                          <w:numPr>
                            <w:ilvl w:val="0"/>
                            <w:numId w:val="1"/>
                          </w:numPr>
                          <w:spacing w:before="100" w:beforeAutospacing="1" w:after="100" w:afterAutospacing="1"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Maandag 17 april 12:00 - 17:00 uur</w:t>
                        </w:r>
                      </w:p>
                      <w:p w14:paraId="626768A0" w14:textId="77777777" w:rsidR="00F24658" w:rsidRPr="00F24658" w:rsidRDefault="00F24658" w:rsidP="00AF0C4D">
                        <w:pPr>
                          <w:numPr>
                            <w:ilvl w:val="0"/>
                            <w:numId w:val="1"/>
                          </w:numPr>
                          <w:spacing w:before="100" w:beforeAutospacing="1" w:after="100" w:afterAutospacing="1"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Maandag 24 april 12:00 - 17:00 uur</w:t>
                        </w:r>
                      </w:p>
                      <w:p w14:paraId="3425A1A9" w14:textId="77777777" w:rsidR="00F24658" w:rsidRPr="00F24658" w:rsidRDefault="00F24658">
                        <w:pPr>
                          <w:spacing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Je kunt tijdens deze dagen vrij binnenlopen. Aanmelden is niet nodig.</w:t>
                        </w:r>
                        <w:r w:rsidRPr="00F24658">
                          <w:rPr>
                            <w:rFonts w:ascii="Arial" w:eastAsia="Times New Roman" w:hAnsi="Arial" w:cs="Arial"/>
                            <w:color w:val="000000"/>
                            <w:sz w:val="20"/>
                            <w:szCs w:val="20"/>
                          </w:rPr>
                          <w:br/>
                        </w:r>
                        <w:r w:rsidRPr="00F24658">
                          <w:rPr>
                            <w:rFonts w:ascii="Arial" w:eastAsia="Times New Roman" w:hAnsi="Arial" w:cs="Arial"/>
                            <w:color w:val="000000"/>
                            <w:sz w:val="20"/>
                            <w:szCs w:val="20"/>
                          </w:rPr>
                          <w:br/>
                        </w:r>
                        <w:r w:rsidRPr="00F24658">
                          <w:rPr>
                            <w:rFonts w:ascii="Arial" w:eastAsia="Times New Roman" w:hAnsi="Arial" w:cs="Arial"/>
                            <w:b/>
                            <w:bCs/>
                            <w:color w:val="000000"/>
                            <w:sz w:val="20"/>
                            <w:szCs w:val="20"/>
                          </w:rPr>
                          <w:t>Vervolg participatietraject</w:t>
                        </w:r>
                        <w:r w:rsidRPr="00F24658">
                          <w:rPr>
                            <w:rFonts w:ascii="Arial" w:eastAsia="Times New Roman" w:hAnsi="Arial" w:cs="Arial"/>
                            <w:color w:val="000000"/>
                            <w:sz w:val="20"/>
                            <w:szCs w:val="20"/>
                          </w:rPr>
                          <w:br/>
                          <w:t>Na het raadsbesluit krijgt het participatietraject weer een vervolg. Dan gaan we eerst met de directe stakeholders en betrokkenen in gesprek over de verdere uitwerking van het totale gebied. Daarbij werken we de deelgebieden Citadelpoort en Tramkade als eerste uit.</w:t>
                        </w:r>
                      </w:p>
                    </w:tc>
                  </w:tr>
                </w:tbl>
                <w:p w14:paraId="78B1CC7F" w14:textId="77777777" w:rsidR="00F24658" w:rsidRPr="00F24658" w:rsidRDefault="00F24658">
                  <w:pPr>
                    <w:jc w:val="center"/>
                    <w:rPr>
                      <w:rFonts w:ascii="Arial" w:eastAsia="Times New Roman" w:hAnsi="Arial" w:cs="Arial"/>
                      <w:sz w:val="20"/>
                      <w:szCs w:val="20"/>
                    </w:rPr>
                  </w:pPr>
                </w:p>
              </w:tc>
            </w:tr>
          </w:tbl>
          <w:p w14:paraId="6EE8F464" w14:textId="77777777" w:rsidR="00F24658" w:rsidRPr="00F24658" w:rsidRDefault="00F24658">
            <w:pPr>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24658" w:rsidRPr="00F24658" w14:paraId="5290238D"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4658" w:rsidRPr="00F24658" w14:paraId="37B3FF42" w14:textId="77777777">
                    <w:trPr>
                      <w:tblCellSpacing w:w="0" w:type="dxa"/>
                      <w:jc w:val="center"/>
                    </w:trPr>
                    <w:tc>
                      <w:tcPr>
                        <w:tcW w:w="0" w:type="auto"/>
                        <w:tcMar>
                          <w:top w:w="0" w:type="dxa"/>
                          <w:left w:w="0" w:type="dxa"/>
                          <w:bottom w:w="135" w:type="dxa"/>
                          <w:right w:w="0" w:type="dxa"/>
                        </w:tcMar>
                        <w:hideMark/>
                      </w:tcPr>
                      <w:p w14:paraId="79F4998F" w14:textId="77777777" w:rsidR="00F24658" w:rsidRPr="00F24658" w:rsidRDefault="00F24658">
                        <w:pPr>
                          <w:spacing w:line="405" w:lineRule="atLeast"/>
                          <w:rPr>
                            <w:rFonts w:ascii="Arial" w:eastAsia="Times New Roman" w:hAnsi="Arial" w:cs="Arial"/>
                            <w:b/>
                            <w:bCs/>
                            <w:color w:val="00205C"/>
                            <w:sz w:val="20"/>
                            <w:szCs w:val="20"/>
                          </w:rPr>
                        </w:pPr>
                        <w:r w:rsidRPr="00F24658">
                          <w:rPr>
                            <w:rFonts w:ascii="Arial" w:eastAsia="Times New Roman" w:hAnsi="Arial" w:cs="Arial"/>
                            <w:b/>
                            <w:bCs/>
                            <w:color w:val="00205C"/>
                            <w:sz w:val="20"/>
                            <w:szCs w:val="20"/>
                          </w:rPr>
                          <w:t>Meer informatie</w:t>
                        </w:r>
                      </w:p>
                    </w:tc>
                  </w:tr>
                  <w:tr w:rsidR="00F24658" w:rsidRPr="00F24658" w14:paraId="2F4D2F0D" w14:textId="77777777">
                    <w:trPr>
                      <w:tblCellSpacing w:w="0" w:type="dxa"/>
                      <w:jc w:val="center"/>
                    </w:trPr>
                    <w:tc>
                      <w:tcPr>
                        <w:tcW w:w="0" w:type="auto"/>
                        <w:hideMark/>
                      </w:tcPr>
                      <w:p w14:paraId="0F5447A5" w14:textId="77777777" w:rsidR="00F24658" w:rsidRPr="00F24658" w:rsidRDefault="00F24658">
                        <w:pPr>
                          <w:spacing w:line="360" w:lineRule="atLeast"/>
                          <w:rPr>
                            <w:rFonts w:ascii="Arial" w:eastAsia="Times New Roman" w:hAnsi="Arial" w:cs="Arial"/>
                            <w:color w:val="000000"/>
                            <w:sz w:val="20"/>
                            <w:szCs w:val="20"/>
                          </w:rPr>
                        </w:pPr>
                        <w:r w:rsidRPr="00F24658">
                          <w:rPr>
                            <w:rFonts w:ascii="Arial" w:eastAsia="Times New Roman" w:hAnsi="Arial" w:cs="Arial"/>
                            <w:color w:val="000000"/>
                            <w:sz w:val="20"/>
                            <w:szCs w:val="20"/>
                          </w:rPr>
                          <w:t xml:space="preserve">Kijk op </w:t>
                        </w:r>
                        <w:hyperlink r:id="rId10" w:tgtFrame="_blank" w:history="1">
                          <w:r w:rsidRPr="00F24658">
                            <w:rPr>
                              <w:rStyle w:val="Hyperlink"/>
                              <w:rFonts w:ascii="Arial" w:eastAsia="Times New Roman" w:hAnsi="Arial" w:cs="Arial"/>
                              <w:color w:val="00205C"/>
                              <w:sz w:val="20"/>
                              <w:szCs w:val="20"/>
                            </w:rPr>
                            <w:t>www.denbosch.nl/bossche-stadsdelta</w:t>
                          </w:r>
                        </w:hyperlink>
                        <w:r w:rsidRPr="00F24658">
                          <w:rPr>
                            <w:rFonts w:ascii="Arial" w:eastAsia="Times New Roman" w:hAnsi="Arial" w:cs="Arial"/>
                            <w:color w:val="000000"/>
                            <w:sz w:val="20"/>
                            <w:szCs w:val="20"/>
                          </w:rPr>
                          <w:t>. Lees hier meer over de inhoud en planning van het project.</w:t>
                        </w:r>
                      </w:p>
                    </w:tc>
                  </w:tr>
                </w:tbl>
                <w:p w14:paraId="3F12E2B6" w14:textId="77777777" w:rsidR="00F24658" w:rsidRPr="00F24658" w:rsidRDefault="00F24658">
                  <w:pPr>
                    <w:jc w:val="center"/>
                    <w:rPr>
                      <w:rFonts w:ascii="Arial" w:eastAsia="Times New Roman" w:hAnsi="Arial" w:cs="Arial"/>
                      <w:sz w:val="20"/>
                      <w:szCs w:val="20"/>
                    </w:rPr>
                  </w:pPr>
                </w:p>
              </w:tc>
            </w:tr>
          </w:tbl>
          <w:p w14:paraId="7EB0C457" w14:textId="77777777" w:rsidR="00F24658" w:rsidRPr="00F24658" w:rsidRDefault="00F24658">
            <w:pPr>
              <w:rPr>
                <w:rFonts w:ascii="Arial" w:eastAsia="Times New Roman" w:hAnsi="Arial" w:cs="Arial"/>
                <w:sz w:val="20"/>
                <w:szCs w:val="20"/>
              </w:rPr>
            </w:pPr>
          </w:p>
        </w:tc>
      </w:tr>
    </w:tbl>
    <w:p w14:paraId="27DC8DB3" w14:textId="77777777" w:rsidR="00EC4DF2" w:rsidRPr="00F24658" w:rsidRDefault="00EC4DF2" w:rsidP="00F24658">
      <w:pPr>
        <w:rPr>
          <w:rFonts w:ascii="Arial" w:hAnsi="Arial" w:cs="Arial"/>
          <w:sz w:val="20"/>
          <w:szCs w:val="20"/>
        </w:rPr>
      </w:pPr>
    </w:p>
    <w:sectPr w:rsidR="00EC4DF2" w:rsidRPr="00F24658"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934"/>
    <w:multiLevelType w:val="multilevel"/>
    <w:tmpl w:val="6434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1259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58"/>
    <w:rsid w:val="00881A42"/>
    <w:rsid w:val="00EC4DF2"/>
    <w:rsid w:val="00F24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6B88"/>
  <w15:chartTrackingRefBased/>
  <w15:docId w15:val="{C2C65147-1C1A-403E-B62E-BA4E8613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4658"/>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24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potler.com/ct/m3/k1/B1EfvgW7JV7pE1l9pdBu9vjfEab6TVKl6U-cci6XlM0_JfDo78j_RWUZtVwL8-FL_z6_Gd4VxC3YagBNI010cA/IRUeHh9AmxjCL5T"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spotler.com/ct/m3/k1/lIMY6PF4DDldUN0f_U_etwADfPUfOFTYx-cVnSLOD1UZls79kgxJAGRwsSjxWht3uDgxeiBZnmz15j1SD2Aj9g/jdWSZiR2z3ghauU"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478</Words>
  <Characters>2634</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2023-03-25T10:47:00Z</dcterms:created>
  <dcterms:modified xsi:type="dcterms:W3CDTF">2023-03-25T10:49:00Z</dcterms:modified>
</cp:coreProperties>
</file>